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8F" w:rsidRDefault="00730A34">
      <w:pPr>
        <w:widowControl w:val="0"/>
        <w:kinsoku/>
        <w:autoSpaceDE/>
        <w:autoSpaceDN/>
        <w:spacing w:before="94" w:line="360" w:lineRule="auto"/>
        <w:ind w:right="681"/>
        <w:jc w:val="center"/>
        <w:rPr>
          <w:rFonts w:ascii="宋体" w:eastAsia="宋体" w:hAnsi="宋体" w:cs="宋体"/>
          <w:b/>
          <w:bCs/>
          <w:spacing w:val="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5"/>
          <w:sz w:val="44"/>
          <w:szCs w:val="44"/>
        </w:rPr>
        <w:t>《</w:t>
      </w:r>
      <w:r>
        <w:rPr>
          <w:rFonts w:ascii="宋体" w:eastAsia="宋体" w:hAnsi="宋体" w:cs="宋体" w:hint="eastAsia"/>
          <w:b/>
          <w:bCs/>
          <w:spacing w:val="3"/>
          <w:sz w:val="44"/>
          <w:szCs w:val="44"/>
        </w:rPr>
        <w:t>智慧</w:t>
      </w:r>
      <w:r>
        <w:rPr>
          <w:rFonts w:ascii="宋体" w:eastAsia="宋体" w:hAnsi="宋体" w:cs="宋体" w:hint="eastAsia"/>
          <w:b/>
          <w:bCs/>
          <w:spacing w:val="3"/>
          <w:sz w:val="44"/>
          <w:szCs w:val="44"/>
        </w:rPr>
        <w:t>健康</w:t>
      </w:r>
      <w:r>
        <w:rPr>
          <w:rFonts w:ascii="宋体" w:eastAsia="宋体" w:hAnsi="宋体" w:cs="宋体" w:hint="eastAsia"/>
          <w:b/>
          <w:bCs/>
          <w:spacing w:val="3"/>
          <w:sz w:val="44"/>
          <w:szCs w:val="44"/>
        </w:rPr>
        <w:t>养老平台</w:t>
      </w:r>
      <w:r>
        <w:rPr>
          <w:rFonts w:ascii="宋体" w:eastAsia="宋体" w:hAnsi="宋体" w:cs="宋体" w:hint="eastAsia"/>
          <w:b/>
          <w:bCs/>
          <w:spacing w:val="3"/>
          <w:sz w:val="44"/>
          <w:szCs w:val="44"/>
        </w:rPr>
        <w:t>元数据</w:t>
      </w:r>
      <w:r>
        <w:rPr>
          <w:rFonts w:ascii="宋体" w:eastAsia="宋体" w:hAnsi="宋体" w:cs="宋体" w:hint="eastAsia"/>
          <w:b/>
          <w:bCs/>
          <w:spacing w:val="3"/>
          <w:sz w:val="44"/>
          <w:szCs w:val="44"/>
        </w:rPr>
        <w:t>规范》</w:t>
      </w:r>
    </w:p>
    <w:p w:rsidR="007A718F" w:rsidRDefault="00730A34">
      <w:pPr>
        <w:widowControl w:val="0"/>
        <w:kinsoku/>
        <w:autoSpaceDE/>
        <w:autoSpaceDN/>
        <w:spacing w:before="94" w:line="360" w:lineRule="auto"/>
        <w:ind w:right="681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编制说明</w:t>
      </w:r>
    </w:p>
    <w:p w:rsidR="007A718F" w:rsidRDefault="007A718F">
      <w:pPr>
        <w:widowControl w:val="0"/>
        <w:kinsoku/>
        <w:autoSpaceDE/>
        <w:autoSpaceDN/>
        <w:spacing w:before="94" w:line="238" w:lineRule="auto"/>
        <w:ind w:right="681"/>
        <w:jc w:val="both"/>
        <w:rPr>
          <w:rFonts w:ascii="宋体" w:eastAsia="宋体" w:hAnsi="宋体" w:cs="宋体"/>
          <w:b/>
          <w:bCs/>
          <w:sz w:val="36"/>
          <w:szCs w:val="36"/>
        </w:rPr>
      </w:pP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2"/>
          <w:sz w:val="28"/>
          <w:szCs w:val="28"/>
        </w:rPr>
        <w:t>编制的目的和意义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目前我国智慧养老仍处于初级阶段，在许多方面尚不成熟，国家《“十四五”国家老龄事业发展和养老服务体系</w:t>
      </w:r>
      <w:r>
        <w:rPr>
          <w:rFonts w:ascii="宋体" w:eastAsia="宋体" w:hAnsi="宋体" w:cs="宋体" w:hint="eastAsia"/>
          <w:sz w:val="28"/>
          <w:szCs w:val="28"/>
        </w:rPr>
        <w:t>规</w:t>
      </w:r>
      <w:r>
        <w:rPr>
          <w:rFonts w:ascii="宋体" w:eastAsia="宋体" w:hAnsi="宋体" w:cs="宋体" w:hint="eastAsia"/>
          <w:sz w:val="28"/>
          <w:szCs w:val="28"/>
        </w:rPr>
        <w:t>划》提出要“推动智慧健康养老规范化、标准化发展”，意味着智慧养老已经开始上升到国家战略层面，为加快提升养老服务水平和监管水平，需尽快推进智慧养老标准化建设，做好顶层设计工作，为全市智慧养老工作提供基础保障和指导方向。</w:t>
      </w:r>
    </w:p>
    <w:p w:rsidR="007A718F" w:rsidRDefault="00730A34">
      <w:pPr>
        <w:widowControl w:val="0"/>
        <w:numPr>
          <w:ilvl w:val="0"/>
          <w:numId w:val="2"/>
        </w:numPr>
        <w:kinsoku/>
        <w:autoSpaceDE/>
        <w:autoSpaceDN/>
        <w:spacing w:before="100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23"/>
          <w:sz w:val="28"/>
          <w:szCs w:val="28"/>
        </w:rPr>
        <w:t>政策依据</w:t>
      </w:r>
    </w:p>
    <w:p w:rsidR="007A718F" w:rsidRDefault="00730A34">
      <w:pPr>
        <w:widowControl w:val="0"/>
        <w:kinsoku/>
        <w:autoSpaceDE/>
        <w:autoSpaceDN/>
        <w:spacing w:before="242" w:line="360" w:lineRule="auto"/>
        <w:ind w:left="26" w:firstLine="65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16"/>
          <w:sz w:val="28"/>
          <w:szCs w:val="28"/>
        </w:rPr>
        <w:t>为</w:t>
      </w:r>
      <w:r>
        <w:rPr>
          <w:rFonts w:ascii="宋体" w:eastAsia="宋体" w:hAnsi="宋体" w:cs="宋体" w:hint="eastAsia"/>
          <w:spacing w:val="10"/>
          <w:sz w:val="28"/>
          <w:szCs w:val="28"/>
        </w:rPr>
        <w:t>贯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彻落实《国务院办公厅关于推进养老服务发展的意</w:t>
      </w:r>
      <w:r>
        <w:rPr>
          <w:rFonts w:ascii="宋体" w:eastAsia="宋体" w:hAnsi="宋体" w:cs="宋体" w:hint="eastAsia"/>
          <w:spacing w:val="-12"/>
          <w:sz w:val="28"/>
          <w:szCs w:val="28"/>
        </w:rPr>
        <w:t>见》</w:t>
      </w:r>
      <w:r>
        <w:rPr>
          <w:rFonts w:ascii="宋体" w:eastAsia="宋体" w:hAnsi="宋体" w:cs="宋体" w:hint="eastAsia"/>
          <w:spacing w:val="-7"/>
          <w:sz w:val="28"/>
          <w:szCs w:val="28"/>
        </w:rPr>
        <w:t>(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国办发〔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2019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〕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5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号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)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《国务院办公厅关于切实解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决老年人运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用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智能技术困难的实施方案》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(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国办发〔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2020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〕</w:t>
      </w:r>
      <w:r>
        <w:rPr>
          <w:rFonts w:ascii="宋体" w:eastAsia="宋体" w:hAnsi="宋体" w:cs="宋体" w:hint="eastAsia"/>
          <w:spacing w:val="4"/>
          <w:sz w:val="28"/>
          <w:szCs w:val="28"/>
        </w:rPr>
        <w:t>45</w:t>
      </w:r>
      <w:r>
        <w:rPr>
          <w:rFonts w:ascii="宋体" w:eastAsia="宋体" w:hAnsi="宋体" w:cs="宋体" w:hint="eastAsia"/>
          <w:spacing w:val="4"/>
          <w:sz w:val="28"/>
          <w:szCs w:val="28"/>
        </w:rPr>
        <w:t>号</w:t>
      </w:r>
      <w:r>
        <w:rPr>
          <w:rFonts w:ascii="宋体" w:eastAsia="宋体" w:hAnsi="宋体" w:cs="宋体" w:hint="eastAsia"/>
          <w:spacing w:val="4"/>
          <w:sz w:val="28"/>
          <w:szCs w:val="28"/>
        </w:rPr>
        <w:t xml:space="preserve">) </w:t>
      </w:r>
      <w:r>
        <w:rPr>
          <w:rFonts w:ascii="宋体" w:eastAsia="宋体" w:hAnsi="宋体" w:cs="宋体" w:hint="eastAsia"/>
          <w:spacing w:val="4"/>
          <w:sz w:val="28"/>
          <w:szCs w:val="28"/>
        </w:rPr>
        <w:t>、《</w:t>
      </w:r>
      <w:r>
        <w:rPr>
          <w:rFonts w:ascii="宋体" w:eastAsia="宋体" w:hAnsi="宋体" w:cs="宋体" w:hint="eastAsia"/>
          <w:spacing w:val="2"/>
          <w:sz w:val="28"/>
          <w:szCs w:val="28"/>
        </w:rPr>
        <w:t>国务院办公厅关于建立健全养老服务综合监管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制度促进养老服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务高质量发展的意见》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(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国办发〔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2020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〕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48</w:t>
      </w:r>
      <w:r>
        <w:rPr>
          <w:rFonts w:ascii="宋体" w:eastAsia="宋体" w:hAnsi="宋体" w:cs="宋体" w:hint="eastAsia"/>
          <w:spacing w:val="15"/>
          <w:sz w:val="28"/>
          <w:szCs w:val="28"/>
        </w:rPr>
        <w:t>号</w:t>
      </w:r>
      <w:r>
        <w:rPr>
          <w:rFonts w:ascii="宋体" w:eastAsia="宋体" w:hAnsi="宋体" w:cs="宋体" w:hint="eastAsia"/>
          <w:spacing w:val="8"/>
          <w:sz w:val="28"/>
          <w:szCs w:val="28"/>
        </w:rPr>
        <w:t>)</w:t>
      </w:r>
      <w:r>
        <w:rPr>
          <w:rFonts w:ascii="宋体" w:eastAsia="宋体" w:hAnsi="宋体" w:cs="宋体" w:hint="eastAsia"/>
          <w:spacing w:val="8"/>
          <w:sz w:val="28"/>
          <w:szCs w:val="28"/>
        </w:rPr>
        <w:t>、《国务院办公厅关于促进养老托育服务健康发展的</w:t>
      </w:r>
      <w:r>
        <w:rPr>
          <w:rFonts w:ascii="宋体" w:eastAsia="宋体" w:hAnsi="宋体" w:cs="宋体" w:hint="eastAsia"/>
          <w:spacing w:val="-12"/>
          <w:sz w:val="28"/>
          <w:szCs w:val="28"/>
        </w:rPr>
        <w:t>意见》</w:t>
      </w:r>
      <w:r>
        <w:rPr>
          <w:rFonts w:ascii="宋体" w:eastAsia="宋体" w:hAnsi="宋体" w:cs="宋体" w:hint="eastAsia"/>
          <w:spacing w:val="-7"/>
          <w:sz w:val="28"/>
          <w:szCs w:val="28"/>
        </w:rPr>
        <w:t>(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国办发〔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2020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〕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52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号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)</w:t>
      </w:r>
      <w:r>
        <w:rPr>
          <w:rFonts w:ascii="宋体" w:eastAsia="宋体" w:hAnsi="宋体" w:cs="宋体" w:hint="eastAsia"/>
          <w:spacing w:val="9"/>
          <w:sz w:val="28"/>
          <w:szCs w:val="28"/>
        </w:rPr>
        <w:t>等文件要求，结合实际</w:t>
      </w:r>
      <w:r>
        <w:rPr>
          <w:rFonts w:ascii="宋体" w:eastAsia="宋体" w:hAnsi="宋体" w:cs="宋体" w:hint="eastAsia"/>
          <w:spacing w:val="9"/>
          <w:sz w:val="28"/>
          <w:szCs w:val="28"/>
        </w:rPr>
        <w:t>需求</w:t>
      </w:r>
      <w:r>
        <w:rPr>
          <w:rFonts w:ascii="宋体" w:eastAsia="宋体" w:hAnsi="宋体" w:cs="宋体" w:hint="eastAsia"/>
          <w:spacing w:val="9"/>
          <w:sz w:val="28"/>
          <w:szCs w:val="28"/>
        </w:rPr>
        <w:t>，制定符合</w:t>
      </w:r>
      <w:r>
        <w:rPr>
          <w:rFonts w:ascii="宋体" w:eastAsia="宋体" w:hAnsi="宋体" w:cs="宋体" w:hint="eastAsia"/>
          <w:spacing w:val="9"/>
          <w:sz w:val="28"/>
          <w:szCs w:val="28"/>
        </w:rPr>
        <w:t>行业</w:t>
      </w:r>
      <w:r>
        <w:rPr>
          <w:rFonts w:ascii="宋体" w:eastAsia="宋体" w:hAnsi="宋体" w:cs="宋体" w:hint="eastAsia"/>
          <w:spacing w:val="8"/>
          <w:sz w:val="28"/>
          <w:szCs w:val="28"/>
        </w:rPr>
        <w:t>现状的《智慧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健康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养老平台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元数据</w:t>
      </w:r>
      <w:r>
        <w:rPr>
          <w:rFonts w:ascii="宋体" w:eastAsia="宋体" w:hAnsi="宋体" w:cs="宋体" w:hint="eastAsia"/>
          <w:spacing w:val="8"/>
          <w:sz w:val="28"/>
          <w:szCs w:val="28"/>
        </w:rPr>
        <w:t>规范》。</w:t>
      </w:r>
    </w:p>
    <w:p w:rsidR="007A718F" w:rsidRDefault="00730A34">
      <w:pPr>
        <w:widowControl w:val="0"/>
        <w:numPr>
          <w:ilvl w:val="0"/>
          <w:numId w:val="2"/>
        </w:numPr>
        <w:kinsoku/>
        <w:autoSpaceDE/>
        <w:autoSpaceDN/>
        <w:spacing w:before="100"/>
        <w:outlineLvl w:val="0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 w:hint="eastAsia"/>
          <w:spacing w:val="-2"/>
          <w:sz w:val="28"/>
          <w:szCs w:val="28"/>
        </w:rPr>
        <w:t>研究背景</w:t>
      </w:r>
    </w:p>
    <w:p w:rsidR="007A718F" w:rsidRDefault="00730A34">
      <w:pPr>
        <w:widowControl w:val="0"/>
        <w:kinsoku/>
        <w:autoSpaceDE/>
        <w:autoSpaceDN/>
        <w:spacing w:before="232" w:line="360" w:lineRule="auto"/>
        <w:ind w:left="20" w:right="16" w:firstLine="6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-8"/>
          <w:sz w:val="28"/>
          <w:szCs w:val="28"/>
        </w:rPr>
        <w:t>2005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年，我国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65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岁及其以上人口比重达到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7%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，老年型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4"/>
          <w:sz w:val="28"/>
          <w:szCs w:val="28"/>
        </w:rPr>
        <w:t>结构初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步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形成，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20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年后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65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周岁以上人口数目就突破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亿，</w:t>
      </w:r>
      <w:r>
        <w:rPr>
          <w:rFonts w:ascii="宋体" w:eastAsia="宋体" w:hAnsi="宋体" w:cs="宋体" w:hint="eastAsia"/>
          <w:spacing w:val="15"/>
          <w:sz w:val="28"/>
          <w:szCs w:val="28"/>
        </w:rPr>
        <w:t>超</w:t>
      </w:r>
      <w:r>
        <w:rPr>
          <w:rFonts w:ascii="宋体" w:eastAsia="宋体" w:hAnsi="宋体" w:cs="宋体" w:hint="eastAsia"/>
          <w:spacing w:val="8"/>
          <w:sz w:val="28"/>
          <w:szCs w:val="28"/>
        </w:rPr>
        <w:t>过大多数发达国家。根据预测，我国将在</w:t>
      </w:r>
      <w:r>
        <w:rPr>
          <w:rFonts w:ascii="宋体" w:eastAsia="宋体" w:hAnsi="宋体" w:cs="宋体" w:hint="eastAsia"/>
          <w:spacing w:val="8"/>
          <w:sz w:val="28"/>
          <w:szCs w:val="28"/>
        </w:rPr>
        <w:t>2025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年左右，</w:t>
      </w:r>
      <w:r>
        <w:rPr>
          <w:rFonts w:ascii="宋体" w:eastAsia="宋体" w:hAnsi="宋体" w:cs="宋体" w:hint="eastAsia"/>
          <w:spacing w:val="16"/>
          <w:sz w:val="28"/>
          <w:szCs w:val="28"/>
        </w:rPr>
        <w:t>由</w:t>
      </w:r>
      <w:r>
        <w:rPr>
          <w:rFonts w:ascii="宋体" w:eastAsia="宋体" w:hAnsi="宋体" w:cs="宋体" w:hint="eastAsia"/>
          <w:spacing w:val="13"/>
          <w:sz w:val="28"/>
          <w:szCs w:val="28"/>
        </w:rPr>
        <w:t>老</w:t>
      </w:r>
      <w:r>
        <w:rPr>
          <w:rFonts w:ascii="宋体" w:eastAsia="宋体" w:hAnsi="宋体" w:cs="宋体" w:hint="eastAsia"/>
          <w:spacing w:val="8"/>
          <w:sz w:val="28"/>
          <w:szCs w:val="28"/>
        </w:rPr>
        <w:t>龄化社会进入老龄社会，届</w:t>
      </w:r>
      <w:r>
        <w:rPr>
          <w:rFonts w:ascii="宋体" w:eastAsia="宋体" w:hAnsi="宋体" w:cs="宋体" w:hint="eastAsia"/>
          <w:spacing w:val="8"/>
          <w:sz w:val="28"/>
          <w:szCs w:val="28"/>
        </w:rPr>
        <w:t>时</w:t>
      </w:r>
      <w:r>
        <w:rPr>
          <w:rFonts w:ascii="宋体" w:eastAsia="宋体" w:hAnsi="宋体" w:cs="宋体" w:hint="eastAsia"/>
          <w:spacing w:val="8"/>
          <w:sz w:val="28"/>
          <w:szCs w:val="28"/>
        </w:rPr>
        <w:t>65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周岁以及以上人口将</w:t>
      </w:r>
      <w:r>
        <w:rPr>
          <w:rFonts w:ascii="宋体" w:eastAsia="宋体" w:hAnsi="宋体" w:cs="宋体" w:hint="eastAsia"/>
          <w:spacing w:val="-20"/>
          <w:sz w:val="28"/>
          <w:szCs w:val="28"/>
        </w:rPr>
        <w:t>达</w:t>
      </w:r>
      <w:r>
        <w:rPr>
          <w:rFonts w:ascii="宋体" w:eastAsia="宋体" w:hAnsi="宋体" w:cs="宋体" w:hint="eastAsia"/>
          <w:spacing w:val="-13"/>
          <w:sz w:val="28"/>
          <w:szCs w:val="28"/>
        </w:rPr>
        <w:t>到</w:t>
      </w:r>
      <w:r>
        <w:rPr>
          <w:rFonts w:ascii="宋体" w:eastAsia="宋体" w:hAnsi="宋体" w:cs="宋体" w:hint="eastAsia"/>
          <w:spacing w:val="-10"/>
          <w:sz w:val="28"/>
          <w:szCs w:val="28"/>
        </w:rPr>
        <w:t>14%</w:t>
      </w:r>
      <w:r>
        <w:rPr>
          <w:rFonts w:ascii="宋体" w:eastAsia="宋体" w:hAnsi="宋体" w:cs="宋体" w:hint="eastAsia"/>
          <w:spacing w:val="-10"/>
          <w:sz w:val="28"/>
          <w:szCs w:val="28"/>
        </w:rPr>
        <w:t>。到</w:t>
      </w:r>
      <w:r>
        <w:rPr>
          <w:rFonts w:ascii="宋体" w:eastAsia="宋体" w:hAnsi="宋体" w:cs="宋体" w:hint="eastAsia"/>
          <w:spacing w:val="-10"/>
          <w:sz w:val="28"/>
          <w:szCs w:val="28"/>
        </w:rPr>
        <w:t>2050</w:t>
      </w:r>
      <w:r>
        <w:rPr>
          <w:rFonts w:ascii="宋体" w:eastAsia="宋体" w:hAnsi="宋体" w:cs="宋体" w:hint="eastAsia"/>
          <w:spacing w:val="-10"/>
          <w:sz w:val="28"/>
          <w:szCs w:val="28"/>
        </w:rPr>
        <w:t>年的时候，老年人将接近</w:t>
      </w:r>
      <w:r>
        <w:rPr>
          <w:rFonts w:ascii="宋体" w:eastAsia="宋体" w:hAnsi="宋体" w:cs="宋体" w:hint="eastAsia"/>
          <w:spacing w:val="-10"/>
          <w:sz w:val="28"/>
          <w:szCs w:val="28"/>
        </w:rPr>
        <w:t>3.8</w:t>
      </w:r>
      <w:r>
        <w:rPr>
          <w:rFonts w:ascii="宋体" w:eastAsia="宋体" w:hAnsi="宋体" w:cs="宋体" w:hint="eastAsia"/>
          <w:spacing w:val="-10"/>
          <w:sz w:val="28"/>
          <w:szCs w:val="28"/>
        </w:rPr>
        <w:t>亿，</w:t>
      </w:r>
      <w:r>
        <w:rPr>
          <w:rFonts w:ascii="宋体" w:eastAsia="宋体" w:hAnsi="宋体" w:cs="宋体" w:hint="eastAsia"/>
          <w:spacing w:val="-10"/>
          <w:sz w:val="28"/>
          <w:szCs w:val="28"/>
        </w:rPr>
        <w:lastRenderedPageBreak/>
        <w:t>占比</w:t>
      </w:r>
      <w:r>
        <w:rPr>
          <w:rFonts w:ascii="宋体" w:eastAsia="宋体" w:hAnsi="宋体" w:cs="宋体" w:hint="eastAsia"/>
          <w:spacing w:val="4"/>
          <w:sz w:val="28"/>
          <w:szCs w:val="28"/>
        </w:rPr>
        <w:t>27.9%</w:t>
      </w:r>
      <w:r>
        <w:rPr>
          <w:rFonts w:ascii="宋体" w:eastAsia="宋体" w:hAnsi="宋体" w:cs="宋体" w:hint="eastAsia"/>
          <w:spacing w:val="4"/>
          <w:sz w:val="28"/>
          <w:szCs w:val="28"/>
        </w:rPr>
        <w:t>，也就是说</w:t>
      </w:r>
      <w:r>
        <w:rPr>
          <w:rFonts w:ascii="宋体" w:eastAsia="宋体" w:hAnsi="宋体" w:cs="宋体" w:hint="eastAsia"/>
          <w:spacing w:val="2"/>
          <w:sz w:val="28"/>
          <w:szCs w:val="28"/>
        </w:rPr>
        <w:t>每</w:t>
      </w:r>
      <w:r>
        <w:rPr>
          <w:rFonts w:ascii="宋体" w:eastAsia="宋体" w:hAnsi="宋体" w:cs="宋体" w:hint="eastAsia"/>
          <w:spacing w:val="2"/>
          <w:sz w:val="28"/>
          <w:szCs w:val="28"/>
        </w:rPr>
        <w:t>3</w:t>
      </w:r>
      <w:r>
        <w:rPr>
          <w:rFonts w:ascii="宋体" w:eastAsia="宋体" w:hAnsi="宋体" w:cs="宋体" w:hint="eastAsia"/>
          <w:spacing w:val="2"/>
          <w:sz w:val="28"/>
          <w:szCs w:val="28"/>
        </w:rPr>
        <w:t>个人中大概会有一个老年人。由此可</w:t>
      </w:r>
      <w:r>
        <w:rPr>
          <w:rFonts w:ascii="宋体" w:eastAsia="宋体" w:hAnsi="宋体" w:cs="宋体" w:hint="eastAsia"/>
          <w:spacing w:val="12"/>
          <w:sz w:val="28"/>
          <w:szCs w:val="28"/>
        </w:rPr>
        <w:t>以</w:t>
      </w:r>
      <w:r>
        <w:rPr>
          <w:rFonts w:ascii="宋体" w:eastAsia="宋体" w:hAnsi="宋体" w:cs="宋体" w:hint="eastAsia"/>
          <w:spacing w:val="9"/>
          <w:sz w:val="28"/>
          <w:szCs w:val="28"/>
        </w:rPr>
        <w:t>看出，从现在到本世纪中叶是中国人口老龄化高速发展的</w:t>
      </w:r>
      <w:r>
        <w:rPr>
          <w:rFonts w:ascii="宋体" w:eastAsia="宋体" w:hAnsi="宋体" w:cs="宋体" w:hint="eastAsia"/>
          <w:spacing w:val="4"/>
          <w:sz w:val="28"/>
          <w:szCs w:val="28"/>
        </w:rPr>
        <w:t>时期</w:t>
      </w:r>
      <w:r>
        <w:rPr>
          <w:rFonts w:ascii="宋体" w:eastAsia="宋体" w:hAnsi="宋体" w:cs="宋体" w:hint="eastAsia"/>
          <w:spacing w:val="3"/>
          <w:sz w:val="28"/>
          <w:szCs w:val="28"/>
        </w:rPr>
        <w:t>。</w:t>
      </w:r>
    </w:p>
    <w:p w:rsidR="007A718F" w:rsidRDefault="00730A34">
      <w:pPr>
        <w:widowControl w:val="0"/>
        <w:kinsoku/>
        <w:autoSpaceDE/>
        <w:autoSpaceDN/>
        <w:spacing w:before="1" w:line="360" w:lineRule="auto"/>
        <w:ind w:firstLineChars="200" w:firstLine="624"/>
        <w:outlineLvl w:val="1"/>
        <w:rPr>
          <w:rFonts w:ascii="宋体" w:eastAsia="宋体" w:hAnsi="宋体" w:cs="宋体"/>
          <w:spacing w:val="8"/>
          <w:sz w:val="28"/>
          <w:szCs w:val="28"/>
        </w:rPr>
      </w:pPr>
      <w:r>
        <w:rPr>
          <w:rFonts w:ascii="宋体" w:eastAsia="宋体" w:hAnsi="宋体" w:cs="宋体" w:hint="eastAsia"/>
          <w:spacing w:val="16"/>
          <w:sz w:val="28"/>
          <w:szCs w:val="28"/>
        </w:rPr>
        <w:t>重庆</w:t>
      </w:r>
      <w:r>
        <w:rPr>
          <w:rFonts w:ascii="宋体" w:eastAsia="宋体" w:hAnsi="宋体" w:cs="宋体" w:hint="eastAsia"/>
          <w:spacing w:val="9"/>
          <w:sz w:val="28"/>
          <w:szCs w:val="28"/>
        </w:rPr>
        <w:t>市</w:t>
      </w:r>
      <w:r>
        <w:rPr>
          <w:rFonts w:ascii="宋体" w:eastAsia="宋体" w:hAnsi="宋体" w:cs="宋体" w:hint="eastAsia"/>
          <w:spacing w:val="8"/>
          <w:sz w:val="28"/>
          <w:szCs w:val="28"/>
        </w:rPr>
        <w:t>老龄化趋势也不容乐观，重庆市</w:t>
      </w:r>
      <w:r>
        <w:rPr>
          <w:rFonts w:ascii="宋体" w:eastAsia="宋体" w:hAnsi="宋体" w:cs="宋体" w:hint="eastAsia"/>
          <w:spacing w:val="8"/>
          <w:sz w:val="28"/>
          <w:szCs w:val="28"/>
        </w:rPr>
        <w:t>60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岁以上老年人口占比为</w:t>
      </w:r>
      <w:r>
        <w:rPr>
          <w:rFonts w:ascii="宋体" w:eastAsia="宋体" w:hAnsi="宋体" w:cs="宋体" w:hint="eastAsia"/>
          <w:spacing w:val="8"/>
          <w:sz w:val="28"/>
          <w:szCs w:val="28"/>
        </w:rPr>
        <w:t>21.67%</w:t>
      </w:r>
      <w:r>
        <w:rPr>
          <w:rFonts w:ascii="宋体" w:eastAsia="宋体" w:hAnsi="宋体" w:cs="宋体" w:hint="eastAsia"/>
          <w:spacing w:val="8"/>
          <w:sz w:val="28"/>
          <w:szCs w:val="28"/>
        </w:rPr>
        <w:t>，</w:t>
      </w:r>
      <w:r>
        <w:rPr>
          <w:rFonts w:ascii="宋体" w:eastAsia="宋体" w:hAnsi="宋体" w:cs="宋体" w:hint="eastAsia"/>
          <w:spacing w:val="8"/>
          <w:sz w:val="28"/>
          <w:szCs w:val="28"/>
        </w:rPr>
        <w:t>65</w:t>
      </w:r>
      <w:r>
        <w:rPr>
          <w:rFonts w:ascii="宋体" w:eastAsia="宋体" w:hAnsi="宋体" w:cs="宋体" w:hint="eastAsia"/>
          <w:spacing w:val="8"/>
          <w:sz w:val="28"/>
          <w:szCs w:val="28"/>
        </w:rPr>
        <w:t>岁以上老年人占比为</w:t>
      </w:r>
      <w:r>
        <w:rPr>
          <w:rFonts w:ascii="宋体" w:eastAsia="宋体" w:hAnsi="宋体" w:cs="宋体" w:hint="eastAsia"/>
          <w:spacing w:val="8"/>
          <w:sz w:val="28"/>
          <w:szCs w:val="28"/>
        </w:rPr>
        <w:t>17.75%</w:t>
      </w:r>
      <w:r>
        <w:rPr>
          <w:rFonts w:ascii="宋体" w:eastAsia="宋体" w:hAnsi="宋体" w:cs="宋体" w:hint="eastAsia"/>
          <w:spacing w:val="8"/>
          <w:sz w:val="28"/>
          <w:szCs w:val="28"/>
        </w:rPr>
        <w:t>，人口老龄化程度不断加深，老年群体多层次、多样化的服务需求持续增长</w:t>
      </w:r>
      <w:r>
        <w:rPr>
          <w:rFonts w:ascii="宋体" w:eastAsia="宋体" w:hAnsi="宋体" w:cs="宋体" w:hint="eastAsia"/>
          <w:spacing w:val="8"/>
          <w:sz w:val="28"/>
          <w:szCs w:val="28"/>
        </w:rPr>
        <w:t>。</w:t>
      </w:r>
    </w:p>
    <w:p w:rsidR="007A718F" w:rsidRDefault="00730A34">
      <w:pPr>
        <w:widowControl w:val="0"/>
        <w:kinsoku/>
        <w:autoSpaceDE/>
        <w:autoSpaceDN/>
        <w:spacing w:before="8" w:line="360" w:lineRule="auto"/>
        <w:ind w:left="21" w:right="16" w:firstLine="6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pacing w:val="14"/>
          <w:sz w:val="28"/>
          <w:szCs w:val="28"/>
        </w:rPr>
        <w:t>同</w:t>
      </w:r>
      <w:r>
        <w:rPr>
          <w:rFonts w:ascii="宋体" w:eastAsia="宋体" w:hAnsi="宋体" w:cs="宋体" w:hint="eastAsia"/>
          <w:spacing w:val="12"/>
          <w:sz w:val="28"/>
          <w:szCs w:val="28"/>
        </w:rPr>
        <w:t>样</w:t>
      </w:r>
      <w:r>
        <w:rPr>
          <w:rFonts w:ascii="宋体" w:eastAsia="宋体" w:hAnsi="宋体" w:cs="宋体" w:hint="eastAsia"/>
          <w:spacing w:val="7"/>
          <w:sz w:val="28"/>
          <w:szCs w:val="28"/>
        </w:rPr>
        <w:t>社会趋势的浪潮也会带来新型的行业和技术应用，</w:t>
      </w:r>
      <w:r>
        <w:rPr>
          <w:rFonts w:ascii="宋体" w:eastAsia="宋体" w:hAnsi="宋体" w:cs="宋体" w:hint="eastAsia"/>
          <w:spacing w:val="11"/>
          <w:sz w:val="28"/>
          <w:szCs w:val="28"/>
        </w:rPr>
        <w:t>在</w:t>
      </w:r>
      <w:r>
        <w:rPr>
          <w:rFonts w:ascii="宋体" w:eastAsia="宋体" w:hAnsi="宋体" w:cs="宋体" w:hint="eastAsia"/>
          <w:spacing w:val="9"/>
          <w:sz w:val="28"/>
          <w:szCs w:val="28"/>
        </w:rPr>
        <w:t>未来的老龄社会，新一代的老年人能够更加充分地接纳新</w:t>
      </w:r>
      <w:r>
        <w:rPr>
          <w:rFonts w:ascii="宋体" w:eastAsia="宋体" w:hAnsi="宋体" w:cs="宋体" w:hint="eastAsia"/>
          <w:spacing w:val="13"/>
          <w:sz w:val="28"/>
          <w:szCs w:val="28"/>
        </w:rPr>
        <w:t>兴</w:t>
      </w:r>
      <w:r>
        <w:rPr>
          <w:rFonts w:ascii="宋体" w:eastAsia="宋体" w:hAnsi="宋体" w:cs="宋体" w:hint="eastAsia"/>
          <w:spacing w:val="9"/>
          <w:sz w:val="28"/>
          <w:szCs w:val="28"/>
        </w:rPr>
        <w:t>事物、积极地运用现代技术，应因时制宜地推出智慧养老</w:t>
      </w:r>
      <w:r>
        <w:rPr>
          <w:rFonts w:ascii="宋体" w:eastAsia="宋体" w:hAnsi="宋体" w:cs="宋体" w:hint="eastAsia"/>
          <w:spacing w:val="5"/>
          <w:sz w:val="28"/>
          <w:szCs w:val="28"/>
        </w:rPr>
        <w:t>举</w:t>
      </w:r>
      <w:r>
        <w:rPr>
          <w:rFonts w:ascii="宋体" w:eastAsia="宋体" w:hAnsi="宋体" w:cs="宋体" w:hint="eastAsia"/>
          <w:spacing w:val="3"/>
          <w:sz w:val="28"/>
          <w:szCs w:val="28"/>
        </w:rPr>
        <w:t>措，融入“互联网</w:t>
      </w:r>
      <w:r>
        <w:rPr>
          <w:rFonts w:ascii="宋体" w:eastAsia="宋体" w:hAnsi="宋体" w:cs="宋体" w:hint="eastAsia"/>
          <w:spacing w:val="3"/>
          <w:sz w:val="28"/>
          <w:szCs w:val="28"/>
        </w:rPr>
        <w:t>+</w:t>
      </w:r>
      <w:r>
        <w:rPr>
          <w:rFonts w:ascii="宋体" w:eastAsia="宋体" w:hAnsi="宋体" w:cs="宋体" w:hint="eastAsia"/>
          <w:spacing w:val="3"/>
          <w:sz w:val="28"/>
          <w:szCs w:val="28"/>
        </w:rPr>
        <w:t>”理念，合理统筹规划养老资源，老年</w:t>
      </w:r>
      <w:r>
        <w:rPr>
          <w:rFonts w:ascii="宋体" w:eastAsia="宋体" w:hAnsi="宋体" w:cs="宋体" w:hint="eastAsia"/>
          <w:spacing w:val="13"/>
          <w:sz w:val="28"/>
          <w:szCs w:val="28"/>
        </w:rPr>
        <w:t>人</w:t>
      </w:r>
      <w:r>
        <w:rPr>
          <w:rFonts w:ascii="宋体" w:eastAsia="宋体" w:hAnsi="宋体" w:cs="宋体" w:hint="eastAsia"/>
          <w:spacing w:val="9"/>
          <w:sz w:val="28"/>
          <w:szCs w:val="28"/>
        </w:rPr>
        <w:t>的生活能力将会得到延展，生活质量也会得到改善。</w:t>
      </w:r>
    </w:p>
    <w:p w:rsidR="007A718F" w:rsidRDefault="00730A34">
      <w:pPr>
        <w:widowControl w:val="0"/>
        <w:kinsoku/>
        <w:autoSpaceDE/>
        <w:autoSpaceDN/>
        <w:spacing w:before="1" w:line="360" w:lineRule="auto"/>
        <w:ind w:firstLineChars="200" w:firstLine="568"/>
        <w:outlineLvl w:val="1"/>
        <w:rPr>
          <w:rFonts w:ascii="宋体" w:eastAsia="宋体" w:hAnsi="宋体" w:cs="宋体"/>
          <w:spacing w:val="7"/>
          <w:sz w:val="28"/>
          <w:szCs w:val="28"/>
        </w:rPr>
      </w:pPr>
      <w:r>
        <w:rPr>
          <w:rFonts w:ascii="宋体" w:eastAsia="宋体" w:hAnsi="宋体" w:cs="宋体" w:hint="eastAsia"/>
          <w:spacing w:val="2"/>
          <w:sz w:val="28"/>
          <w:szCs w:val="28"/>
        </w:rPr>
        <w:t>前期经过调研，了解到我市各县区</w:t>
      </w:r>
      <w:r>
        <w:rPr>
          <w:rFonts w:ascii="宋体" w:eastAsia="宋体" w:hAnsi="宋体" w:cs="宋体" w:hint="eastAsia"/>
          <w:spacing w:val="2"/>
          <w:sz w:val="28"/>
          <w:szCs w:val="28"/>
        </w:rPr>
        <w:t xml:space="preserve"> (</w:t>
      </w:r>
      <w:r>
        <w:rPr>
          <w:rFonts w:ascii="宋体" w:eastAsia="宋体" w:hAnsi="宋体" w:cs="宋体" w:hint="eastAsia"/>
          <w:spacing w:val="2"/>
          <w:sz w:val="28"/>
          <w:szCs w:val="28"/>
        </w:rPr>
        <w:t>市</w:t>
      </w:r>
      <w:r>
        <w:rPr>
          <w:rFonts w:ascii="宋体" w:eastAsia="宋体" w:hAnsi="宋体" w:cs="宋体" w:hint="eastAsia"/>
          <w:spacing w:val="2"/>
          <w:sz w:val="28"/>
          <w:szCs w:val="28"/>
        </w:rPr>
        <w:t xml:space="preserve">) </w:t>
      </w:r>
      <w:r>
        <w:rPr>
          <w:rFonts w:ascii="宋体" w:eastAsia="宋体" w:hAnsi="宋体" w:cs="宋体" w:hint="eastAsia"/>
          <w:spacing w:val="2"/>
          <w:sz w:val="28"/>
          <w:szCs w:val="28"/>
        </w:rPr>
        <w:t>的智慧</w:t>
      </w:r>
      <w:r>
        <w:rPr>
          <w:rFonts w:ascii="宋体" w:eastAsia="宋体" w:hAnsi="宋体" w:cs="宋体" w:hint="eastAsia"/>
          <w:spacing w:val="1"/>
          <w:sz w:val="28"/>
          <w:szCs w:val="28"/>
        </w:rPr>
        <w:t>养</w:t>
      </w:r>
      <w:r>
        <w:rPr>
          <w:rFonts w:ascii="宋体" w:eastAsia="宋体" w:hAnsi="宋体" w:cs="宋体" w:hint="eastAsia"/>
          <w:sz w:val="28"/>
          <w:szCs w:val="28"/>
        </w:rPr>
        <w:t>老体</w:t>
      </w:r>
      <w:r>
        <w:rPr>
          <w:rFonts w:ascii="宋体" w:eastAsia="宋体" w:hAnsi="宋体" w:cs="宋体" w:hint="eastAsia"/>
          <w:spacing w:val="9"/>
          <w:sz w:val="28"/>
          <w:szCs w:val="28"/>
        </w:rPr>
        <w:t>系建设现状还不平衡，没有统一的系统框架和基础标准，</w:t>
      </w:r>
      <w:r>
        <w:rPr>
          <w:rFonts w:ascii="宋体" w:eastAsia="宋体" w:hAnsi="宋体" w:cs="宋体" w:hint="eastAsia"/>
          <w:spacing w:val="8"/>
          <w:sz w:val="28"/>
          <w:szCs w:val="28"/>
        </w:rPr>
        <w:t>智</w:t>
      </w:r>
      <w:r>
        <w:rPr>
          <w:rFonts w:ascii="宋体" w:eastAsia="宋体" w:hAnsi="宋体" w:cs="宋体" w:hint="eastAsia"/>
          <w:spacing w:val="9"/>
          <w:sz w:val="28"/>
          <w:szCs w:val="28"/>
        </w:rPr>
        <w:t>慧养老还没有成为一个闭合的体系。监管和服务，政府和</w:t>
      </w:r>
      <w:r>
        <w:rPr>
          <w:rFonts w:ascii="宋体" w:eastAsia="宋体" w:hAnsi="宋体" w:cs="宋体" w:hint="eastAsia"/>
          <w:spacing w:val="8"/>
          <w:sz w:val="28"/>
          <w:szCs w:val="28"/>
        </w:rPr>
        <w:t>企</w:t>
      </w:r>
      <w:r>
        <w:rPr>
          <w:rFonts w:ascii="宋体" w:eastAsia="宋体" w:hAnsi="宋体" w:cs="宋体" w:hint="eastAsia"/>
          <w:spacing w:val="16"/>
          <w:sz w:val="28"/>
          <w:szCs w:val="28"/>
        </w:rPr>
        <w:t>业</w:t>
      </w:r>
      <w:r>
        <w:rPr>
          <w:rFonts w:ascii="宋体" w:eastAsia="宋体" w:hAnsi="宋体" w:cs="宋体" w:hint="eastAsia"/>
          <w:spacing w:val="12"/>
          <w:sz w:val="28"/>
          <w:szCs w:val="28"/>
        </w:rPr>
        <w:t>，</w:t>
      </w:r>
      <w:r>
        <w:rPr>
          <w:rFonts w:ascii="宋体" w:eastAsia="宋体" w:hAnsi="宋体" w:cs="宋体" w:hint="eastAsia"/>
          <w:spacing w:val="8"/>
          <w:sz w:val="28"/>
          <w:szCs w:val="28"/>
        </w:rPr>
        <w:t>企业与服务对象</w:t>
      </w:r>
      <w:r>
        <w:rPr>
          <w:rFonts w:ascii="宋体" w:eastAsia="宋体" w:hAnsi="宋体" w:cs="宋体" w:hint="eastAsia"/>
          <w:spacing w:val="8"/>
          <w:sz w:val="28"/>
          <w:szCs w:val="28"/>
        </w:rPr>
        <w:t>(</w:t>
      </w:r>
      <w:r>
        <w:rPr>
          <w:rFonts w:ascii="宋体" w:eastAsia="宋体" w:hAnsi="宋体" w:cs="宋体" w:hint="eastAsia"/>
          <w:spacing w:val="8"/>
          <w:sz w:val="28"/>
          <w:szCs w:val="28"/>
        </w:rPr>
        <w:t>老年人及家庭</w:t>
      </w:r>
      <w:r>
        <w:rPr>
          <w:rFonts w:ascii="宋体" w:eastAsia="宋体" w:hAnsi="宋体" w:cs="宋体" w:hint="eastAsia"/>
          <w:spacing w:val="8"/>
          <w:sz w:val="28"/>
          <w:szCs w:val="28"/>
        </w:rPr>
        <w:t>)</w:t>
      </w:r>
      <w:r>
        <w:rPr>
          <w:rFonts w:ascii="宋体" w:eastAsia="宋体" w:hAnsi="宋体" w:cs="宋体" w:hint="eastAsia"/>
          <w:spacing w:val="8"/>
          <w:sz w:val="28"/>
          <w:szCs w:val="28"/>
        </w:rPr>
        <w:t>之间需进一步的梳理</w:t>
      </w:r>
      <w:r>
        <w:rPr>
          <w:rFonts w:ascii="宋体" w:eastAsia="宋体" w:hAnsi="宋体" w:cs="宋体" w:hint="eastAsia"/>
          <w:spacing w:val="9"/>
          <w:sz w:val="28"/>
          <w:szCs w:val="28"/>
        </w:rPr>
        <w:t>逻辑关系，急需理顺各自的需求及责任范围</w:t>
      </w:r>
      <w:r>
        <w:rPr>
          <w:rFonts w:ascii="宋体" w:eastAsia="宋体" w:hAnsi="宋体" w:cs="宋体" w:hint="eastAsia"/>
          <w:spacing w:val="7"/>
          <w:sz w:val="28"/>
          <w:szCs w:val="28"/>
        </w:rPr>
        <w:t>。</w:t>
      </w:r>
    </w:p>
    <w:p w:rsidR="007A718F" w:rsidRDefault="00730A34">
      <w:pPr>
        <w:widowControl w:val="0"/>
        <w:numPr>
          <w:ilvl w:val="0"/>
          <w:numId w:val="2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可行性分析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2012</w:t>
      </w:r>
      <w:r>
        <w:rPr>
          <w:rFonts w:ascii="宋体" w:eastAsia="宋体" w:hAnsi="宋体" w:cs="宋体" w:hint="eastAsia"/>
          <w:sz w:val="28"/>
          <w:szCs w:val="28"/>
        </w:rPr>
        <w:t>年全国老龄办首先提出“智能化养老”理念，鼓励支持开展智慧养老探索。</w:t>
      </w:r>
      <w:r>
        <w:rPr>
          <w:rFonts w:ascii="宋体" w:eastAsia="宋体" w:hAnsi="宋体" w:cs="宋体" w:hint="eastAsia"/>
          <w:sz w:val="28"/>
          <w:szCs w:val="28"/>
        </w:rPr>
        <w:t>2015</w:t>
      </w:r>
      <w:r>
        <w:rPr>
          <w:rFonts w:ascii="宋体" w:eastAsia="宋体" w:hAnsi="宋体" w:cs="宋体" w:hint="eastAsia"/>
          <w:sz w:val="28"/>
          <w:szCs w:val="28"/>
        </w:rPr>
        <w:t>年，国务院印发《关于积极推进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“互联网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”行动的指导意见》，明确提出要“促进智慧健康养老产业发展”。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年，工业和信息化部、民政部、原国家卫生计生委印发《智慧健康养老产业发展行动计划</w:t>
      </w:r>
      <w:r>
        <w:rPr>
          <w:rFonts w:ascii="宋体" w:eastAsia="宋体" w:hAnsi="宋体" w:cs="宋体" w:hint="eastAsia"/>
          <w:sz w:val="28"/>
          <w:szCs w:val="28"/>
        </w:rPr>
        <w:t>(2017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》，计划到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，基本形成覆盖全生命周期的智慧健康养老产业体系。国内其他省、市结合自身发展情况也相继出台了有关智慧养老的多个政策文件。系列政策的出台标志着智慧养老已是大势所趋，将会迎来蓬勃发展期，而智慧养老建设有关标</w:t>
      </w:r>
      <w:r>
        <w:rPr>
          <w:rFonts w:ascii="宋体" w:eastAsia="宋体" w:hAnsi="宋体" w:cs="宋体" w:hint="eastAsia"/>
          <w:sz w:val="28"/>
          <w:szCs w:val="28"/>
        </w:rPr>
        <w:t>准或规范的制定是智慧养老发展的重点内容之一，结合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年民政部、国家标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准化管理委员会《关于加快推进民政标准化工作的意见》提出的“加快养老服务领域标准制定修订，重点研制养老服务基础通用、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服务质量、服务保障和养老机构管理标准”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根据当前趋势，制定《智慧健康养老平台元数据规范》团体标准，以确保智慧健康养老平台元数据标准的一致性和适用性。最终支持智慧养老资源的融合、管理和共享。所以制定《智慧健康养老平台元数据规范》是有必要的。</w:t>
      </w: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编制原则和依据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本标准的制定工作遵循“面向市场、服务产业、自主制定、适时推出、及时修</w:t>
      </w:r>
      <w:r>
        <w:rPr>
          <w:rFonts w:ascii="宋体" w:eastAsia="宋体" w:hAnsi="宋体" w:cs="宋体" w:hint="eastAsia"/>
          <w:sz w:val="28"/>
          <w:szCs w:val="28"/>
        </w:rPr>
        <w:t>订、不断完善”的原则，本着先进性、科学性、合理性和可操作性的原则，结合养老行业发展实际，按照</w:t>
      </w:r>
      <w:r>
        <w:rPr>
          <w:rFonts w:ascii="宋体" w:eastAsia="宋体" w:hAnsi="宋体" w:cs="宋体" w:hint="eastAsia"/>
          <w:sz w:val="28"/>
          <w:szCs w:val="28"/>
        </w:rPr>
        <w:t xml:space="preserve"> GB/T1.1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 xml:space="preserve"> 2020 </w:t>
      </w:r>
      <w:r>
        <w:rPr>
          <w:rFonts w:ascii="宋体" w:eastAsia="宋体" w:hAnsi="宋体" w:cs="宋体" w:hint="eastAsia"/>
          <w:sz w:val="28"/>
          <w:szCs w:val="28"/>
        </w:rPr>
        <w:t>给出的规则编写。</w:t>
      </w: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编制过程</w:t>
      </w:r>
    </w:p>
    <w:p w:rsidR="007A718F" w:rsidRDefault="00730A34">
      <w:pPr>
        <w:widowControl w:val="0"/>
        <w:numPr>
          <w:ilvl w:val="0"/>
          <w:numId w:val="3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主要起草单位、起草人和协作起草单位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本标准由立信（重庆）数据科技股份有限公司作为主要起草单位，编制《智慧</w:t>
      </w:r>
      <w:r>
        <w:rPr>
          <w:rFonts w:ascii="宋体" w:eastAsia="宋体" w:hAnsi="宋体" w:cs="宋体" w:hint="eastAsia"/>
          <w:sz w:val="28"/>
          <w:szCs w:val="28"/>
        </w:rPr>
        <w:t>健康养老平台元数据规范</w:t>
      </w:r>
      <w:r>
        <w:rPr>
          <w:rFonts w:ascii="宋体" w:eastAsia="宋体" w:hAnsi="宋体" w:cs="宋体" w:hint="eastAsia"/>
          <w:sz w:val="28"/>
          <w:szCs w:val="28"/>
        </w:rPr>
        <w:t>》标准，广泛邀请相关行业单位参与编制工作，计划项目完成时间是</w:t>
      </w:r>
      <w:r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月。</w:t>
      </w:r>
    </w:p>
    <w:p w:rsidR="007A718F" w:rsidRDefault="00730A34">
      <w:pPr>
        <w:widowControl w:val="0"/>
        <w:numPr>
          <w:ilvl w:val="0"/>
          <w:numId w:val="3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标准起草工作过程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为了确保标准编制的顺利实施，做到编制的标准技术含量高、实用性强，确保编制标准高质量、高效率。标准起草单位成立了标准起草小组，负责调研、标准的编制、修改、送审等工作的实施。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标准起草工作组成员组织认真学习了</w:t>
      </w:r>
      <w:r>
        <w:rPr>
          <w:rFonts w:ascii="宋体" w:eastAsia="宋体" w:hAnsi="宋体" w:cs="宋体" w:hint="eastAsia"/>
          <w:sz w:val="28"/>
          <w:szCs w:val="28"/>
        </w:rPr>
        <w:t xml:space="preserve"> GB/T1.1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 xml:space="preserve"> 2020</w:t>
      </w:r>
      <w:r>
        <w:rPr>
          <w:rFonts w:ascii="宋体" w:eastAsia="宋体" w:hAnsi="宋体" w:cs="宋体" w:hint="eastAsia"/>
          <w:sz w:val="28"/>
          <w:szCs w:val="28"/>
        </w:rPr>
        <w:t>《标准化工作导则第</w:t>
      </w:r>
      <w:r>
        <w:rPr>
          <w:rFonts w:ascii="宋体" w:eastAsia="宋体" w:hAnsi="宋体" w:cs="宋体" w:hint="eastAsia"/>
          <w:sz w:val="28"/>
          <w:szCs w:val="28"/>
        </w:rPr>
        <w:t xml:space="preserve"> 1 </w:t>
      </w:r>
      <w:r>
        <w:rPr>
          <w:rFonts w:ascii="宋体" w:eastAsia="宋体" w:hAnsi="宋体" w:cs="宋体" w:hint="eastAsia"/>
          <w:sz w:val="28"/>
          <w:szCs w:val="28"/>
        </w:rPr>
        <w:t>部分：标准的结构和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编写规则》，结合标准制定工作程序的各个环节，进行了探讨和研究。收集了</w:t>
      </w:r>
      <w:r>
        <w:rPr>
          <w:rFonts w:ascii="宋体" w:eastAsia="宋体" w:hAnsi="宋体" w:cs="宋体" w:hint="eastAsia"/>
          <w:sz w:val="28"/>
          <w:szCs w:val="28"/>
        </w:rPr>
        <w:t>智慧养老相关的元数据规范资料</w:t>
      </w:r>
      <w:r>
        <w:rPr>
          <w:rFonts w:ascii="宋体" w:eastAsia="宋体" w:hAnsi="宋体" w:cs="宋体" w:hint="eastAsia"/>
          <w:sz w:val="28"/>
          <w:szCs w:val="28"/>
        </w:rPr>
        <w:t>，并参考学习了这些</w:t>
      </w:r>
      <w:r>
        <w:rPr>
          <w:rFonts w:ascii="宋体" w:eastAsia="宋体" w:hAnsi="宋体" w:cs="宋体" w:hint="eastAsia"/>
          <w:sz w:val="28"/>
          <w:szCs w:val="28"/>
        </w:rPr>
        <w:t>资料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形成了智慧健康养老平台元数据规范草案。同时，起草小组组织了相关专家及技术人员对标准草案进行了多次讨论，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根据讨论结果，</w:t>
      </w:r>
      <w:r>
        <w:rPr>
          <w:rFonts w:ascii="宋体" w:eastAsia="宋体" w:hAnsi="宋体" w:cs="宋体" w:hint="eastAsia"/>
          <w:sz w:val="28"/>
          <w:szCs w:val="28"/>
        </w:rPr>
        <w:t>对标准草案中的部分内容做了多次修改完善，形成了本标准送审稿。</w:t>
      </w: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技术性说明</w:t>
      </w:r>
    </w:p>
    <w:p w:rsidR="007A718F" w:rsidRDefault="00730A34">
      <w:pPr>
        <w:widowControl w:val="0"/>
        <w:numPr>
          <w:ilvl w:val="0"/>
          <w:numId w:val="4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制定标准的原则和依据，与有关现行国际国内标准的关系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本标准在编制的过程中，从生产实际出发，参考其他相关的标准，以提高标准的准确性，以科学性和实用性为原则。同时，遵循国家的有关方针、政策、法规，按照</w:t>
      </w:r>
      <w:bookmarkStart w:id="0" w:name="OLE_LINK1"/>
      <w:r>
        <w:rPr>
          <w:rFonts w:ascii="宋体" w:eastAsia="宋体" w:hAnsi="宋体" w:cs="宋体" w:hint="eastAsia"/>
          <w:sz w:val="28"/>
          <w:szCs w:val="28"/>
        </w:rPr>
        <w:t>GB/T 1.1-20</w:t>
      </w:r>
      <w:bookmarkEnd w:id="0"/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《标准化工作导则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第一部分：标准化文件的结构和起草规则》进行编制，力求做到技术内容正确无误；文字表达准确、简明易懂；标准结构严谨合理；层次划分符合逻辑。本标准主要规定了智慧健康养老平台元数据属性、元数据描述及扩展规则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A718F" w:rsidRDefault="00730A34">
      <w:pPr>
        <w:ind w:firstLineChars="200" w:firstLine="560"/>
        <w:rPr>
          <w:rFonts w:ascii="宋体" w:eastAsia="宋体" w:hAnsi="Times New Roman" w:cs="宋体"/>
          <w:color w:val="auto"/>
          <w:szCs w:val="20"/>
        </w:rPr>
      </w:pPr>
      <w:r>
        <w:rPr>
          <w:rFonts w:ascii="宋体" w:eastAsia="宋体" w:hAnsi="宋体" w:cs="宋体" w:hint="eastAsia"/>
          <w:sz w:val="28"/>
          <w:szCs w:val="28"/>
        </w:rPr>
        <w:t>本标准引用了</w:t>
      </w:r>
      <w:hyperlink r:id="rId8" w:tgtFrame="D:\1.标准化工作\3、团体标准申报资料\1、标准文本\智慧健康养平台——元数据规范标准\_blank" w:history="1">
        <w:r>
          <w:rPr>
            <w:rFonts w:ascii="宋体" w:eastAsia="宋体" w:hAnsi="宋体" w:cs="宋体" w:hint="eastAsia"/>
            <w:sz w:val="28"/>
            <w:szCs w:val="28"/>
          </w:rPr>
          <w:t>GB</w:t>
        </w:r>
        <w:r>
          <w:rPr>
            <w:rFonts w:ascii="宋体" w:eastAsia="宋体" w:hAnsi="宋体" w:cs="宋体"/>
            <w:sz w:val="28"/>
            <w:szCs w:val="28"/>
          </w:rPr>
          <w:t> </w:t>
        </w:r>
        <w:r>
          <w:rPr>
            <w:rFonts w:ascii="宋体" w:eastAsia="宋体" w:hAnsi="宋体" w:cs="宋体" w:hint="eastAsia"/>
            <w:sz w:val="28"/>
            <w:szCs w:val="28"/>
          </w:rPr>
          <w:t>32100-2015</w:t>
        </w:r>
        <w:r>
          <w:rPr>
            <w:rFonts w:ascii="宋体" w:eastAsia="宋体" w:hAnsi="宋体" w:cs="宋体" w:hint="eastAsia"/>
            <w:sz w:val="28"/>
            <w:szCs w:val="28"/>
          </w:rPr>
          <w:t>《法人和其他组织统一社会信用代码编码规则</w:t>
        </w:r>
      </w:hyperlink>
      <w:r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个标准。</w:t>
      </w:r>
    </w:p>
    <w:p w:rsidR="007A718F" w:rsidRDefault="007A718F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A718F" w:rsidRDefault="00730A34">
      <w:pPr>
        <w:widowControl w:val="0"/>
        <w:numPr>
          <w:ilvl w:val="0"/>
          <w:numId w:val="4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主要条款说明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本标准主要技术内容拟包括：范围、规范性引用文件、术语定义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元数据属性、元数据描述及扩展规则。</w:t>
      </w:r>
      <w:r>
        <w:rPr>
          <w:rFonts w:ascii="宋体" w:eastAsia="宋体" w:hAnsi="宋体" w:cs="宋体" w:hint="eastAsia"/>
          <w:sz w:val="28"/>
          <w:szCs w:val="28"/>
        </w:rPr>
        <w:t>具体如下：</w:t>
      </w:r>
    </w:p>
    <w:p w:rsidR="007A718F" w:rsidRDefault="00730A34">
      <w:pPr>
        <w:widowControl w:val="0"/>
        <w:numPr>
          <w:ilvl w:val="0"/>
          <w:numId w:val="5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范围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本标准规定了</w:t>
      </w:r>
      <w:r>
        <w:rPr>
          <w:rFonts w:ascii="宋体" w:eastAsia="宋体" w:hAnsi="宋体" w:cs="宋体" w:hint="eastAsia"/>
          <w:sz w:val="28"/>
          <w:szCs w:val="28"/>
        </w:rPr>
        <w:t>智慧健康养老平台元数据属性、元数据描述及扩展规则</w:t>
      </w:r>
      <w:r>
        <w:rPr>
          <w:rFonts w:ascii="宋体" w:eastAsia="宋体" w:hAnsi="宋体" w:cs="宋体" w:hint="eastAsia"/>
          <w:sz w:val="28"/>
          <w:szCs w:val="28"/>
        </w:rPr>
        <w:t>。本标准适用于</w:t>
      </w:r>
      <w:r>
        <w:rPr>
          <w:rFonts w:ascii="宋体" w:eastAsia="宋体" w:hAnsi="宋体" w:cs="宋体" w:hint="eastAsia"/>
          <w:sz w:val="28"/>
          <w:szCs w:val="28"/>
        </w:rPr>
        <w:t>智慧健康养老平台中元数据的整理、建库、汇编、发布和查询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A718F" w:rsidRDefault="00730A34">
      <w:pPr>
        <w:widowControl w:val="0"/>
        <w:numPr>
          <w:ilvl w:val="0"/>
          <w:numId w:val="5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规范性引用文件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本标准依据</w:t>
      </w:r>
      <w:r>
        <w:rPr>
          <w:rFonts w:ascii="宋体" w:eastAsia="宋体" w:hAnsi="宋体" w:cs="宋体" w:hint="eastAsia"/>
          <w:sz w:val="28"/>
          <w:szCs w:val="28"/>
        </w:rPr>
        <w:t xml:space="preserve"> GB/T 1.1-2000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《</w:t>
      </w:r>
      <w:r>
        <w:rPr>
          <w:rFonts w:ascii="宋体" w:eastAsia="宋体" w:hAnsi="宋体" w:cs="宋体" w:hint="eastAsia"/>
          <w:sz w:val="28"/>
          <w:szCs w:val="28"/>
        </w:rPr>
        <w:t>标准化工作导则第</w:t>
      </w:r>
      <w:r>
        <w:rPr>
          <w:rFonts w:ascii="宋体" w:eastAsia="宋体" w:hAnsi="宋体" w:cs="宋体" w:hint="eastAsia"/>
          <w:sz w:val="28"/>
          <w:szCs w:val="28"/>
        </w:rPr>
        <w:t xml:space="preserve"> 1 </w:t>
      </w:r>
      <w:r>
        <w:rPr>
          <w:rFonts w:ascii="宋体" w:eastAsia="宋体" w:hAnsi="宋体" w:cs="宋体" w:hint="eastAsia"/>
          <w:sz w:val="28"/>
          <w:szCs w:val="28"/>
        </w:rPr>
        <w:t>部分：标准的结构和编写规则</w:t>
      </w:r>
      <w:r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、</w:t>
      </w:r>
      <w:hyperlink r:id="rId9" w:tgtFrame="D:\1.标准化工作\3、团体标准申报资料\1、标准文本\智慧健康养平台——元数据规范标准\_blank" w:history="1">
        <w:r>
          <w:rPr>
            <w:rFonts w:ascii="宋体" w:eastAsia="宋体" w:hAnsi="宋体" w:cs="宋体" w:hint="eastAsia"/>
            <w:sz w:val="28"/>
            <w:szCs w:val="28"/>
          </w:rPr>
          <w:t>GB</w:t>
        </w:r>
        <w:r>
          <w:rPr>
            <w:rFonts w:ascii="宋体" w:eastAsia="宋体" w:hAnsi="宋体" w:cs="宋体"/>
            <w:sz w:val="28"/>
            <w:szCs w:val="28"/>
          </w:rPr>
          <w:t> </w:t>
        </w:r>
        <w:r>
          <w:rPr>
            <w:rFonts w:ascii="宋体" w:eastAsia="宋体" w:hAnsi="宋体" w:cs="宋体" w:hint="eastAsia"/>
            <w:sz w:val="28"/>
            <w:szCs w:val="28"/>
          </w:rPr>
          <w:t>32100-2015</w:t>
        </w:r>
        <w:r>
          <w:rPr>
            <w:rFonts w:ascii="宋体" w:eastAsia="宋体" w:hAnsi="宋体" w:cs="宋体" w:hint="eastAsia"/>
            <w:sz w:val="28"/>
            <w:szCs w:val="28"/>
          </w:rPr>
          <w:t>《法人和其他组织统一社会信用代码编码规则</w:t>
        </w:r>
      </w:hyperlink>
      <w:r>
        <w:rPr>
          <w:rFonts w:ascii="宋体" w:eastAsia="宋体" w:hAnsi="宋体" w:cs="宋体" w:hint="eastAsia"/>
          <w:sz w:val="28"/>
          <w:szCs w:val="28"/>
        </w:rPr>
        <w:t>》要求进行编写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A718F" w:rsidRDefault="00730A34">
      <w:pPr>
        <w:widowControl w:val="0"/>
        <w:numPr>
          <w:ilvl w:val="0"/>
          <w:numId w:val="5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术语和定义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主要对元数据、元数据元素及元数据实体进行了定义。</w:t>
      </w:r>
    </w:p>
    <w:p w:rsidR="007A718F" w:rsidRDefault="00730A34">
      <w:pPr>
        <w:widowControl w:val="0"/>
        <w:numPr>
          <w:ilvl w:val="0"/>
          <w:numId w:val="5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元数据属性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元数据属性主要规定了应采用摘要表示的方式定义和描述元数据，包括中文名称、定义、英文名称、数据类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型、取值示例，并对每项元素应具有的属性提出了要求。</w:t>
      </w:r>
    </w:p>
    <w:p w:rsidR="007A718F" w:rsidRDefault="00730A34">
      <w:pPr>
        <w:widowControl w:val="0"/>
        <w:numPr>
          <w:ilvl w:val="0"/>
          <w:numId w:val="5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元数据描述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主要对平台里面涉及到的有关医疗保险、测评特殊情况、食物分类、亲友关系、</w:t>
      </w:r>
      <w:r>
        <w:rPr>
          <w:rFonts w:ascii="宋体" w:eastAsia="宋体" w:hAnsi="宋体" w:cs="宋体" w:hint="eastAsia"/>
          <w:sz w:val="28"/>
          <w:szCs w:val="28"/>
        </w:rPr>
        <w:t>机构分类、机构形式、机构性质、单位名称、统一社会信用代码、通信地址、老人类型、护理级别等元素属性进行了规定。</w:t>
      </w:r>
    </w:p>
    <w:p w:rsidR="007A718F" w:rsidRDefault="00730A34">
      <w:pPr>
        <w:widowControl w:val="0"/>
        <w:numPr>
          <w:ilvl w:val="0"/>
          <w:numId w:val="5"/>
        </w:numPr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元数据扩展准则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主要对智慧健康养老平台元数据的扩展原则和要求进行了规定。</w:t>
      </w: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采标情况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没有采用国际标准和国外先进标准。</w:t>
      </w: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重大意见分歧的处理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标准实施的建议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标准发布后，建议</w:t>
      </w:r>
      <w:r>
        <w:rPr>
          <w:rFonts w:ascii="宋体" w:eastAsia="宋体" w:hAnsi="宋体" w:cs="宋体" w:hint="eastAsia"/>
          <w:sz w:val="28"/>
          <w:szCs w:val="28"/>
        </w:rPr>
        <w:t>在协会</w:t>
      </w:r>
      <w:r>
        <w:rPr>
          <w:rFonts w:ascii="宋体" w:eastAsia="宋体" w:hAnsi="宋体" w:cs="宋体" w:hint="eastAsia"/>
          <w:sz w:val="28"/>
          <w:szCs w:val="28"/>
        </w:rPr>
        <w:t>内加强培训和宣贯力度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组织相关单位以</w:t>
      </w:r>
      <w:r>
        <w:rPr>
          <w:rFonts w:ascii="宋体" w:eastAsia="宋体" w:hAnsi="宋体" w:cs="宋体" w:hint="eastAsia"/>
          <w:sz w:val="28"/>
          <w:szCs w:val="28"/>
        </w:rPr>
        <w:t>本标准为依据牵头进行平台建设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落实标准中的</w:t>
      </w:r>
      <w:r>
        <w:rPr>
          <w:rFonts w:ascii="宋体" w:eastAsia="宋体" w:hAnsi="宋体" w:cs="宋体" w:hint="eastAsia"/>
          <w:sz w:val="28"/>
          <w:szCs w:val="28"/>
        </w:rPr>
        <w:t>相关要求。</w:t>
      </w:r>
      <w:r>
        <w:rPr>
          <w:rFonts w:ascii="宋体" w:eastAsia="宋体" w:hAnsi="宋体" w:cs="宋体" w:hint="eastAsia"/>
          <w:sz w:val="28"/>
          <w:szCs w:val="28"/>
        </w:rPr>
        <w:t>促使智慧</w:t>
      </w:r>
      <w:r>
        <w:rPr>
          <w:rFonts w:ascii="宋体" w:eastAsia="宋体" w:hAnsi="宋体" w:cs="宋体" w:hint="eastAsia"/>
          <w:sz w:val="28"/>
          <w:szCs w:val="28"/>
        </w:rPr>
        <w:t>健康</w:t>
      </w:r>
      <w:r>
        <w:rPr>
          <w:rFonts w:ascii="宋体" w:eastAsia="宋体" w:hAnsi="宋体" w:cs="宋体" w:hint="eastAsia"/>
          <w:sz w:val="28"/>
          <w:szCs w:val="28"/>
        </w:rPr>
        <w:t>养老平台规范化、标准化，助推养老事业健康发展。</w:t>
      </w:r>
    </w:p>
    <w:p w:rsidR="007A718F" w:rsidRDefault="00730A34">
      <w:pPr>
        <w:widowControl w:val="0"/>
        <w:numPr>
          <w:ilvl w:val="0"/>
          <w:numId w:val="1"/>
        </w:numPr>
        <w:kinsoku/>
        <w:autoSpaceDE/>
        <w:autoSpaceDN/>
        <w:spacing w:before="100" w:line="360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其他应予说明的事项</w:t>
      </w:r>
    </w:p>
    <w:p w:rsidR="007A718F" w:rsidRDefault="00730A34">
      <w:pPr>
        <w:widowControl w:val="0"/>
        <w:kinsoku/>
        <w:autoSpaceDE/>
        <w:autoSpaceDN/>
        <w:spacing w:before="100" w:line="360" w:lineRule="auto"/>
        <w:ind w:firstLineChars="200" w:firstLine="560"/>
        <w:outlineLvl w:val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无。</w:t>
      </w:r>
    </w:p>
    <w:p w:rsidR="007A718F" w:rsidRDefault="007A718F">
      <w:pPr>
        <w:widowControl w:val="0"/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7A718F" w:rsidRDefault="00730A34">
      <w:pPr>
        <w:widowControl w:val="0"/>
        <w:kinsoku/>
        <w:autoSpaceDE/>
        <w:autoSpaceDN/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《智慧</w:t>
      </w:r>
      <w:r>
        <w:rPr>
          <w:rFonts w:ascii="宋体" w:eastAsia="宋体" w:hAnsi="宋体" w:cs="宋体" w:hint="eastAsia"/>
          <w:sz w:val="28"/>
          <w:szCs w:val="28"/>
        </w:rPr>
        <w:t>健康</w:t>
      </w:r>
      <w:r>
        <w:rPr>
          <w:rFonts w:ascii="宋体" w:eastAsia="宋体" w:hAnsi="宋体" w:cs="宋体" w:hint="eastAsia"/>
          <w:sz w:val="28"/>
          <w:szCs w:val="28"/>
        </w:rPr>
        <w:t>养老平台</w:t>
      </w:r>
      <w:r>
        <w:rPr>
          <w:rFonts w:ascii="宋体" w:eastAsia="宋体" w:hAnsi="宋体" w:cs="宋体" w:hint="eastAsia"/>
          <w:sz w:val="28"/>
          <w:szCs w:val="28"/>
        </w:rPr>
        <w:t>元数据</w:t>
      </w:r>
      <w:r>
        <w:rPr>
          <w:rFonts w:ascii="宋体" w:eastAsia="宋体" w:hAnsi="宋体" w:cs="宋体" w:hint="eastAsia"/>
          <w:sz w:val="28"/>
          <w:szCs w:val="28"/>
        </w:rPr>
        <w:t>规范》标准</w:t>
      </w:r>
      <w:r>
        <w:rPr>
          <w:rFonts w:ascii="宋体" w:eastAsia="宋体" w:hAnsi="宋体" w:cs="宋体" w:hint="eastAsia"/>
          <w:sz w:val="28"/>
          <w:szCs w:val="28"/>
        </w:rPr>
        <w:t>起草小组</w:t>
      </w:r>
    </w:p>
    <w:p w:rsidR="007A718F" w:rsidRDefault="00730A34">
      <w:pPr>
        <w:widowControl w:val="0"/>
        <w:kinsoku/>
        <w:autoSpaceDE/>
        <w:autoSpaceDN/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  <w:sectPr w:rsidR="007A718F">
          <w:pgSz w:w="11906" w:h="16839"/>
          <w:pgMar w:top="1474" w:right="1587" w:bottom="1474" w:left="1587" w:header="0" w:footer="0" w:gutter="0"/>
          <w:cols w:space="720"/>
        </w:sectPr>
      </w:pPr>
      <w:r>
        <w:rPr>
          <w:rFonts w:ascii="宋体" w:eastAsia="宋体" w:hAnsi="宋体" w:cs="宋体" w:hint="eastAsia"/>
          <w:sz w:val="28"/>
          <w:szCs w:val="28"/>
        </w:rPr>
        <w:t>2023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EC40D6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C40D6">
        <w:rPr>
          <w:rFonts w:ascii="宋体" w:eastAsia="宋体" w:hAnsi="宋体" w:cs="宋体" w:hint="eastAsia"/>
          <w:sz w:val="28"/>
          <w:szCs w:val="28"/>
        </w:rPr>
        <w:t>20</w:t>
      </w:r>
      <w:bookmarkStart w:id="1" w:name="_GoBack"/>
      <w:bookmarkEnd w:id="1"/>
    </w:p>
    <w:p w:rsidR="007A718F" w:rsidRDefault="007A718F">
      <w:pPr>
        <w:widowControl w:val="0"/>
        <w:kinsoku/>
        <w:autoSpaceDE/>
        <w:autoSpaceDN/>
        <w:spacing w:line="360" w:lineRule="auto"/>
        <w:rPr>
          <w:rFonts w:ascii="宋体" w:eastAsia="宋体" w:hAnsi="宋体" w:cs="宋体"/>
          <w:sz w:val="28"/>
          <w:szCs w:val="28"/>
        </w:rPr>
      </w:pPr>
    </w:p>
    <w:sectPr w:rsidR="007A718F">
      <w:pgSz w:w="11906" w:h="16839"/>
      <w:pgMar w:top="1431" w:right="1632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34" w:rsidRDefault="00730A34">
      <w:r>
        <w:separator/>
      </w:r>
    </w:p>
  </w:endnote>
  <w:endnote w:type="continuationSeparator" w:id="0">
    <w:p w:rsidR="00730A34" w:rsidRDefault="007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34" w:rsidRDefault="00730A34">
      <w:r>
        <w:separator/>
      </w:r>
    </w:p>
  </w:footnote>
  <w:footnote w:type="continuationSeparator" w:id="0">
    <w:p w:rsidR="00730A34" w:rsidRDefault="007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D2FBF0"/>
    <w:multiLevelType w:val="singleLevel"/>
    <w:tmpl w:val="9DD2FBF0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  <w:b/>
        <w:bCs/>
      </w:rPr>
    </w:lvl>
  </w:abstractNum>
  <w:abstractNum w:abstractNumId="1">
    <w:nsid w:val="D304326A"/>
    <w:multiLevelType w:val="singleLevel"/>
    <w:tmpl w:val="D30432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C8B776F"/>
    <w:multiLevelType w:val="singleLevel"/>
    <w:tmpl w:val="1C8B776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21B2AF78"/>
    <w:multiLevelType w:val="singleLevel"/>
    <w:tmpl w:val="21B2AF7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71EE18C6"/>
    <w:multiLevelType w:val="singleLevel"/>
    <w:tmpl w:val="71EE18C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ZTAzMGQyZjE4YWY3MTg1M2UxYjk0N2RjYTEyYTgifQ=="/>
  </w:docVars>
  <w:rsids>
    <w:rsidRoot w:val="4468292F"/>
    <w:rsid w:val="00730A34"/>
    <w:rsid w:val="007A718F"/>
    <w:rsid w:val="00EC40D6"/>
    <w:rsid w:val="01E84D9F"/>
    <w:rsid w:val="02510906"/>
    <w:rsid w:val="030E7081"/>
    <w:rsid w:val="03451B80"/>
    <w:rsid w:val="03797549"/>
    <w:rsid w:val="048E777E"/>
    <w:rsid w:val="04A96020"/>
    <w:rsid w:val="05142124"/>
    <w:rsid w:val="05F91942"/>
    <w:rsid w:val="06A21555"/>
    <w:rsid w:val="06F32300"/>
    <w:rsid w:val="074D3F12"/>
    <w:rsid w:val="08185631"/>
    <w:rsid w:val="0AFA363F"/>
    <w:rsid w:val="0C307BA2"/>
    <w:rsid w:val="0CD60B95"/>
    <w:rsid w:val="0CF71FF0"/>
    <w:rsid w:val="0D88117D"/>
    <w:rsid w:val="0D8A5A02"/>
    <w:rsid w:val="0DFA0DB9"/>
    <w:rsid w:val="0F5122D9"/>
    <w:rsid w:val="0FC1501F"/>
    <w:rsid w:val="10582108"/>
    <w:rsid w:val="10983AAD"/>
    <w:rsid w:val="12C77ED1"/>
    <w:rsid w:val="12EA37FE"/>
    <w:rsid w:val="13653BFD"/>
    <w:rsid w:val="138719F4"/>
    <w:rsid w:val="14C82937"/>
    <w:rsid w:val="14DE1C18"/>
    <w:rsid w:val="150772B3"/>
    <w:rsid w:val="15F9697A"/>
    <w:rsid w:val="16043A64"/>
    <w:rsid w:val="16094BB9"/>
    <w:rsid w:val="161F16BB"/>
    <w:rsid w:val="16CF723B"/>
    <w:rsid w:val="172E7AAD"/>
    <w:rsid w:val="17AF54CD"/>
    <w:rsid w:val="18C52526"/>
    <w:rsid w:val="19F66F75"/>
    <w:rsid w:val="1A264DC3"/>
    <w:rsid w:val="1A37160C"/>
    <w:rsid w:val="1B311934"/>
    <w:rsid w:val="1B96692E"/>
    <w:rsid w:val="1C1132D9"/>
    <w:rsid w:val="1D1311FB"/>
    <w:rsid w:val="1D800786"/>
    <w:rsid w:val="1E07524D"/>
    <w:rsid w:val="1F71478F"/>
    <w:rsid w:val="1F9F618A"/>
    <w:rsid w:val="202769B3"/>
    <w:rsid w:val="205F6D8F"/>
    <w:rsid w:val="206343BD"/>
    <w:rsid w:val="208C3083"/>
    <w:rsid w:val="218D7843"/>
    <w:rsid w:val="22F148FC"/>
    <w:rsid w:val="231959D9"/>
    <w:rsid w:val="234A647A"/>
    <w:rsid w:val="23697519"/>
    <w:rsid w:val="23D02AAE"/>
    <w:rsid w:val="245B54B1"/>
    <w:rsid w:val="247C142A"/>
    <w:rsid w:val="24AF38B0"/>
    <w:rsid w:val="251717A1"/>
    <w:rsid w:val="266D7DE1"/>
    <w:rsid w:val="27181E9B"/>
    <w:rsid w:val="273032A4"/>
    <w:rsid w:val="27761C9D"/>
    <w:rsid w:val="27C85DCA"/>
    <w:rsid w:val="27F14767"/>
    <w:rsid w:val="280D456E"/>
    <w:rsid w:val="287B21D6"/>
    <w:rsid w:val="28AB1AFF"/>
    <w:rsid w:val="2A4A4449"/>
    <w:rsid w:val="2A7B411A"/>
    <w:rsid w:val="2B9C336D"/>
    <w:rsid w:val="2BB02452"/>
    <w:rsid w:val="2C0E2811"/>
    <w:rsid w:val="2C4D3D1C"/>
    <w:rsid w:val="2C683C41"/>
    <w:rsid w:val="2CD511C3"/>
    <w:rsid w:val="2CE0321A"/>
    <w:rsid w:val="2D343D67"/>
    <w:rsid w:val="2DF37C9E"/>
    <w:rsid w:val="2F4400C9"/>
    <w:rsid w:val="2F866FDA"/>
    <w:rsid w:val="30590913"/>
    <w:rsid w:val="30676185"/>
    <w:rsid w:val="30805747"/>
    <w:rsid w:val="314048EB"/>
    <w:rsid w:val="32045DF3"/>
    <w:rsid w:val="32452FC5"/>
    <w:rsid w:val="32835CD3"/>
    <w:rsid w:val="32AC4FFA"/>
    <w:rsid w:val="33E60345"/>
    <w:rsid w:val="36107446"/>
    <w:rsid w:val="36DB5909"/>
    <w:rsid w:val="36F13DEC"/>
    <w:rsid w:val="37476074"/>
    <w:rsid w:val="37700B95"/>
    <w:rsid w:val="37CF3270"/>
    <w:rsid w:val="37E54176"/>
    <w:rsid w:val="37F875D2"/>
    <w:rsid w:val="381E172B"/>
    <w:rsid w:val="382550CC"/>
    <w:rsid w:val="3843620E"/>
    <w:rsid w:val="384749C7"/>
    <w:rsid w:val="38B66BC3"/>
    <w:rsid w:val="38E44102"/>
    <w:rsid w:val="39251B83"/>
    <w:rsid w:val="39833714"/>
    <w:rsid w:val="3A430E02"/>
    <w:rsid w:val="3A6F5AE8"/>
    <w:rsid w:val="3B302C0A"/>
    <w:rsid w:val="3BBA7D9C"/>
    <w:rsid w:val="3BD731BE"/>
    <w:rsid w:val="3BDE7B39"/>
    <w:rsid w:val="3C025B08"/>
    <w:rsid w:val="3C0835F3"/>
    <w:rsid w:val="3D997C1C"/>
    <w:rsid w:val="3DB3376F"/>
    <w:rsid w:val="3DD70372"/>
    <w:rsid w:val="3DE6489A"/>
    <w:rsid w:val="3E0A216A"/>
    <w:rsid w:val="3EEF4224"/>
    <w:rsid w:val="3EF11D2E"/>
    <w:rsid w:val="3F256673"/>
    <w:rsid w:val="3F6164BF"/>
    <w:rsid w:val="3FA73043"/>
    <w:rsid w:val="3FB078F1"/>
    <w:rsid w:val="3FBF0B05"/>
    <w:rsid w:val="406030BB"/>
    <w:rsid w:val="421A3B44"/>
    <w:rsid w:val="429149EF"/>
    <w:rsid w:val="42AC04F6"/>
    <w:rsid w:val="43582276"/>
    <w:rsid w:val="437E1E93"/>
    <w:rsid w:val="43E4220F"/>
    <w:rsid w:val="43F3262F"/>
    <w:rsid w:val="43FD27FD"/>
    <w:rsid w:val="4468292F"/>
    <w:rsid w:val="44F37990"/>
    <w:rsid w:val="45A27BE0"/>
    <w:rsid w:val="460D51A7"/>
    <w:rsid w:val="46831F47"/>
    <w:rsid w:val="46AE1102"/>
    <w:rsid w:val="4726061B"/>
    <w:rsid w:val="47DA3DE4"/>
    <w:rsid w:val="483B7967"/>
    <w:rsid w:val="48695D4C"/>
    <w:rsid w:val="488B68CD"/>
    <w:rsid w:val="48F62138"/>
    <w:rsid w:val="4972443F"/>
    <w:rsid w:val="4A8F6EB6"/>
    <w:rsid w:val="4AD007FF"/>
    <w:rsid w:val="4AF01C47"/>
    <w:rsid w:val="4B3C0A5B"/>
    <w:rsid w:val="4C212434"/>
    <w:rsid w:val="4C760C21"/>
    <w:rsid w:val="4D64485D"/>
    <w:rsid w:val="4E5A6330"/>
    <w:rsid w:val="4E9A02B5"/>
    <w:rsid w:val="4F3836C2"/>
    <w:rsid w:val="4F945E04"/>
    <w:rsid w:val="4FC125DB"/>
    <w:rsid w:val="4FE919C0"/>
    <w:rsid w:val="500657F0"/>
    <w:rsid w:val="51347735"/>
    <w:rsid w:val="51A63B2C"/>
    <w:rsid w:val="529E315F"/>
    <w:rsid w:val="52EF5594"/>
    <w:rsid w:val="539846E6"/>
    <w:rsid w:val="542320B9"/>
    <w:rsid w:val="548E13E0"/>
    <w:rsid w:val="550A0880"/>
    <w:rsid w:val="56931311"/>
    <w:rsid w:val="57314FE9"/>
    <w:rsid w:val="573E0416"/>
    <w:rsid w:val="57982E42"/>
    <w:rsid w:val="57B4707C"/>
    <w:rsid w:val="58522779"/>
    <w:rsid w:val="589E6072"/>
    <w:rsid w:val="58DD71E5"/>
    <w:rsid w:val="59853242"/>
    <w:rsid w:val="5A851901"/>
    <w:rsid w:val="5B005DEB"/>
    <w:rsid w:val="5BEF279E"/>
    <w:rsid w:val="5C4A1EFD"/>
    <w:rsid w:val="5C9B7C73"/>
    <w:rsid w:val="5DD8592C"/>
    <w:rsid w:val="5E2F3368"/>
    <w:rsid w:val="5E5F7F3C"/>
    <w:rsid w:val="5E615530"/>
    <w:rsid w:val="5E6B472C"/>
    <w:rsid w:val="5ECA4C6F"/>
    <w:rsid w:val="60423E10"/>
    <w:rsid w:val="610C68D8"/>
    <w:rsid w:val="61296FF7"/>
    <w:rsid w:val="61837582"/>
    <w:rsid w:val="621A36D8"/>
    <w:rsid w:val="626C6065"/>
    <w:rsid w:val="634135E9"/>
    <w:rsid w:val="64BE1BE0"/>
    <w:rsid w:val="64E05648"/>
    <w:rsid w:val="658D4B19"/>
    <w:rsid w:val="661F14DA"/>
    <w:rsid w:val="66234E64"/>
    <w:rsid w:val="67AC157F"/>
    <w:rsid w:val="67C35150"/>
    <w:rsid w:val="67F614D7"/>
    <w:rsid w:val="68137DE3"/>
    <w:rsid w:val="68577830"/>
    <w:rsid w:val="686F476E"/>
    <w:rsid w:val="68A84864"/>
    <w:rsid w:val="68B921DE"/>
    <w:rsid w:val="69253DE7"/>
    <w:rsid w:val="69EC47B2"/>
    <w:rsid w:val="6A961C85"/>
    <w:rsid w:val="6AAF46BD"/>
    <w:rsid w:val="6AC9698D"/>
    <w:rsid w:val="6ACD19A7"/>
    <w:rsid w:val="6B3E2281"/>
    <w:rsid w:val="6B4226B5"/>
    <w:rsid w:val="6BD703FE"/>
    <w:rsid w:val="6C7C74CA"/>
    <w:rsid w:val="6C821D1C"/>
    <w:rsid w:val="6D39215B"/>
    <w:rsid w:val="6D605F90"/>
    <w:rsid w:val="6D720975"/>
    <w:rsid w:val="6EDA2C71"/>
    <w:rsid w:val="6EE814CA"/>
    <w:rsid w:val="6EEB1F4C"/>
    <w:rsid w:val="6FA01155"/>
    <w:rsid w:val="6FEC5530"/>
    <w:rsid w:val="706A29B3"/>
    <w:rsid w:val="70CC72EA"/>
    <w:rsid w:val="71267542"/>
    <w:rsid w:val="71275632"/>
    <w:rsid w:val="72B412E1"/>
    <w:rsid w:val="73236743"/>
    <w:rsid w:val="73D007C7"/>
    <w:rsid w:val="74205E12"/>
    <w:rsid w:val="75A01542"/>
    <w:rsid w:val="76D03E4D"/>
    <w:rsid w:val="773F5C32"/>
    <w:rsid w:val="77C93B59"/>
    <w:rsid w:val="77D86D0C"/>
    <w:rsid w:val="798F71A1"/>
    <w:rsid w:val="7A1A529E"/>
    <w:rsid w:val="7AB95D6C"/>
    <w:rsid w:val="7ACA2A9D"/>
    <w:rsid w:val="7B00798B"/>
    <w:rsid w:val="7B403034"/>
    <w:rsid w:val="7BE60125"/>
    <w:rsid w:val="7C4F0CCB"/>
    <w:rsid w:val="7C6C790E"/>
    <w:rsid w:val="7C6D465E"/>
    <w:rsid w:val="7C8F69DD"/>
    <w:rsid w:val="7D4B013F"/>
    <w:rsid w:val="7D983576"/>
    <w:rsid w:val="7EAD383C"/>
    <w:rsid w:val="7EFE3576"/>
    <w:rsid w:val="7F5D2C2F"/>
    <w:rsid w:val="7FA003ED"/>
    <w:rsid w:val="7FB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d.samr.gov.cn/gb/search/gbDetailed?id=71F772D808D6D3A7E05397BE0A0AB82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d.samr.gov.cn/gb/search/gbDetailed?id=71F772D808D6D3A7E05397BE0A0AB82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杨琴</dc:creator>
  <cp:lastModifiedBy>asus</cp:lastModifiedBy>
  <cp:revision>3</cp:revision>
  <dcterms:created xsi:type="dcterms:W3CDTF">2023-06-13T09:19:00Z</dcterms:created>
  <dcterms:modified xsi:type="dcterms:W3CDTF">2023-07-07T02:31:00Z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C131ED120CC940C3B0F3BDE9BE2636E3_13</vt:lpwstr>
  </property>
</Properties>
</file>